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905D1" w14:textId="77777777" w:rsidR="00120AEA" w:rsidRDefault="00120AEA" w:rsidP="00120AE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5BF6737B" wp14:editId="367EDA26">
            <wp:extent cx="835155" cy="942975"/>
            <wp:effectExtent l="0" t="0" r="3175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CPHB_2017_(EN_PRIORITE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079" cy="96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</w:p>
    <w:p w14:paraId="3B8AAD3E" w14:textId="77777777" w:rsidR="00120AEA" w:rsidRDefault="00120AEA" w:rsidP="00120AE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59EDB1" w14:textId="6D10E0BD" w:rsidR="00901BD4" w:rsidRPr="00903B66" w:rsidRDefault="00956B44" w:rsidP="00120A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03B66">
        <w:rPr>
          <w:rFonts w:ascii="Arial" w:hAnsi="Arial" w:cs="Arial"/>
          <w:b/>
          <w:bCs/>
          <w:sz w:val="22"/>
          <w:szCs w:val="22"/>
        </w:rPr>
        <w:t>Plan Climat Air Energie Territorial (PCAET)</w:t>
      </w:r>
    </w:p>
    <w:p w14:paraId="36004C69" w14:textId="12C23023" w:rsidR="00903B66" w:rsidRPr="00903B66" w:rsidRDefault="00903B66" w:rsidP="00956B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03B66">
        <w:rPr>
          <w:rFonts w:ascii="Arial" w:hAnsi="Arial" w:cs="Arial"/>
          <w:b/>
          <w:bCs/>
          <w:sz w:val="22"/>
          <w:szCs w:val="22"/>
        </w:rPr>
        <w:t>de la Communauté de Communes du Pays de Honfleur-Beuzeville</w:t>
      </w:r>
      <w:r w:rsidR="002A6B84">
        <w:rPr>
          <w:rFonts w:ascii="Arial" w:hAnsi="Arial" w:cs="Arial"/>
          <w:b/>
          <w:bCs/>
          <w:sz w:val="22"/>
          <w:szCs w:val="22"/>
        </w:rPr>
        <w:t xml:space="preserve"> (CCPHB)</w:t>
      </w:r>
    </w:p>
    <w:p w14:paraId="448018F5" w14:textId="77777777" w:rsidR="00903B66" w:rsidRPr="00903B66" w:rsidRDefault="00903B66" w:rsidP="00956B44">
      <w:pPr>
        <w:jc w:val="center"/>
        <w:rPr>
          <w:rFonts w:ascii="Arial" w:hAnsi="Arial" w:cs="Arial"/>
          <w:sz w:val="21"/>
          <w:szCs w:val="21"/>
        </w:rPr>
      </w:pPr>
    </w:p>
    <w:p w14:paraId="014A4D6B" w14:textId="21BEB060" w:rsidR="00903B66" w:rsidRDefault="00903B66" w:rsidP="00956B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03B66">
        <w:rPr>
          <w:rFonts w:ascii="Arial" w:hAnsi="Arial" w:cs="Arial"/>
          <w:b/>
          <w:bCs/>
          <w:sz w:val="22"/>
          <w:szCs w:val="22"/>
        </w:rPr>
        <w:t xml:space="preserve">Déclaration d’intention </w:t>
      </w:r>
    </w:p>
    <w:p w14:paraId="2B81089A" w14:textId="6342569D" w:rsidR="002A6B84" w:rsidRPr="00903B66" w:rsidRDefault="002A6B84" w:rsidP="00956B4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(Article L121-18 du code de l’environnement)</w:t>
      </w:r>
    </w:p>
    <w:p w14:paraId="1A88B041" w14:textId="77777777" w:rsidR="00956B44" w:rsidRDefault="00956B44" w:rsidP="007C3DBC">
      <w:pPr>
        <w:jc w:val="center"/>
        <w:rPr>
          <w:rFonts w:ascii="Arial" w:hAnsi="Arial" w:cs="Arial"/>
          <w:sz w:val="20"/>
          <w:szCs w:val="20"/>
        </w:rPr>
      </w:pPr>
    </w:p>
    <w:p w14:paraId="08DE71CE" w14:textId="77777777" w:rsidR="009B79BE" w:rsidRDefault="009B79BE" w:rsidP="00956B44">
      <w:pPr>
        <w:jc w:val="both"/>
        <w:rPr>
          <w:rFonts w:ascii="Arial" w:hAnsi="Arial" w:cs="Arial"/>
          <w:sz w:val="20"/>
          <w:szCs w:val="20"/>
        </w:rPr>
      </w:pPr>
    </w:p>
    <w:p w14:paraId="58C08FB0" w14:textId="77777777" w:rsidR="00956B44" w:rsidRPr="00B04B84" w:rsidRDefault="00956B44" w:rsidP="00956B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04B84">
        <w:rPr>
          <w:rFonts w:ascii="Arial" w:hAnsi="Arial" w:cs="Arial"/>
          <w:b/>
          <w:bCs/>
          <w:sz w:val="20"/>
          <w:szCs w:val="20"/>
        </w:rPr>
        <w:t xml:space="preserve">I – Les motivations et raisons d’être du plan climat air énergie territorial. </w:t>
      </w:r>
    </w:p>
    <w:p w14:paraId="6E553CB2" w14:textId="77777777" w:rsidR="004E422E" w:rsidRDefault="004E422E" w:rsidP="004E422E">
      <w:pPr>
        <w:jc w:val="both"/>
        <w:rPr>
          <w:rFonts w:ascii="Arial" w:hAnsi="Arial" w:cs="Arial"/>
          <w:sz w:val="20"/>
          <w:szCs w:val="20"/>
        </w:rPr>
      </w:pPr>
    </w:p>
    <w:p w14:paraId="2995585E" w14:textId="39BCBBA3" w:rsidR="00B8523E" w:rsidRPr="00120AEA" w:rsidRDefault="00B8523E" w:rsidP="00B8523E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Les modalités d’élaboration et de concertation du PCAET de la CCPHB sont définies conformément au décret n°2016-849 du 28 juin 2016</w:t>
      </w:r>
      <w:r w:rsidR="00650DC5" w:rsidRPr="00120AEA">
        <w:rPr>
          <w:rFonts w:ascii="Arial" w:hAnsi="Arial" w:cs="Arial"/>
          <w:sz w:val="20"/>
          <w:szCs w:val="20"/>
        </w:rPr>
        <w:t>. Pour rappel le PCAET est un document qualifié d’intérêt général pour la collectivité qui l’élabore.</w:t>
      </w:r>
      <w:r w:rsidRPr="00120AEA">
        <w:rPr>
          <w:rFonts w:ascii="Arial" w:hAnsi="Arial" w:cs="Arial"/>
          <w:sz w:val="20"/>
          <w:szCs w:val="20"/>
        </w:rPr>
        <w:t xml:space="preserve"> </w:t>
      </w:r>
    </w:p>
    <w:p w14:paraId="648FF826" w14:textId="77777777" w:rsidR="008C2217" w:rsidRPr="00120AEA" w:rsidRDefault="00B8523E" w:rsidP="008C2217">
      <w:pPr>
        <w:spacing w:after="80"/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 xml:space="preserve">Par délibération du 2 avril 2019, la CCPHB a lancé son PCAET reconnu comme d’intérêt général pour le territoire composé de 23 communes. </w:t>
      </w:r>
      <w:r w:rsidR="008C2217" w:rsidRPr="00120AEA">
        <w:rPr>
          <w:rFonts w:ascii="Arial" w:hAnsi="Arial" w:cs="Arial"/>
          <w:sz w:val="20"/>
          <w:szCs w:val="20"/>
        </w:rPr>
        <w:t>Il a pour enjeux :</w:t>
      </w:r>
    </w:p>
    <w:p w14:paraId="022FA9CB" w14:textId="097D0E9D" w:rsidR="008C2217" w:rsidRPr="00120AEA" w:rsidRDefault="00650DC5" w:rsidP="008C2217">
      <w:pPr>
        <w:pStyle w:val="Paragraphedeliste"/>
        <w:numPr>
          <w:ilvl w:val="0"/>
          <w:numId w:val="5"/>
        </w:numPr>
        <w:spacing w:after="80" w:line="259" w:lineRule="auto"/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D’a</w:t>
      </w:r>
      <w:r w:rsidR="008C2217" w:rsidRPr="00120AEA">
        <w:rPr>
          <w:rFonts w:ascii="Arial" w:hAnsi="Arial" w:cs="Arial"/>
          <w:sz w:val="20"/>
          <w:szCs w:val="20"/>
        </w:rPr>
        <w:t>nticiper la fracture énergétique,</w:t>
      </w:r>
    </w:p>
    <w:p w14:paraId="79917801" w14:textId="0D5B576E" w:rsidR="008C2217" w:rsidRPr="00120AEA" w:rsidRDefault="00650DC5" w:rsidP="008C2217">
      <w:pPr>
        <w:pStyle w:val="Paragraphedeliste"/>
        <w:numPr>
          <w:ilvl w:val="0"/>
          <w:numId w:val="5"/>
        </w:numPr>
        <w:spacing w:after="80" w:line="259" w:lineRule="auto"/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D’e</w:t>
      </w:r>
      <w:r w:rsidR="008C2217" w:rsidRPr="00120AEA">
        <w:rPr>
          <w:rFonts w:ascii="Arial" w:hAnsi="Arial" w:cs="Arial"/>
          <w:sz w:val="20"/>
          <w:szCs w:val="20"/>
        </w:rPr>
        <w:t>nclencher un changement de modèle économique et sociétal permettant globalement de préserver les ressources,</w:t>
      </w:r>
    </w:p>
    <w:p w14:paraId="5CB5C576" w14:textId="31ABC1D6" w:rsidR="008C2217" w:rsidRPr="00120AEA" w:rsidRDefault="00650DC5" w:rsidP="008C2217">
      <w:pPr>
        <w:pStyle w:val="Paragraphedeliste"/>
        <w:numPr>
          <w:ilvl w:val="0"/>
          <w:numId w:val="5"/>
        </w:numPr>
        <w:spacing w:after="80" w:line="259" w:lineRule="auto"/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D’a</w:t>
      </w:r>
      <w:r w:rsidR="008C2217" w:rsidRPr="00120AEA">
        <w:rPr>
          <w:rFonts w:ascii="Arial" w:hAnsi="Arial" w:cs="Arial"/>
          <w:sz w:val="20"/>
          <w:szCs w:val="20"/>
        </w:rPr>
        <w:t xml:space="preserve">nticiper les effets de l’évolution du climat et de s’en prémunir. </w:t>
      </w:r>
    </w:p>
    <w:p w14:paraId="44651D74" w14:textId="77777777" w:rsidR="008C2217" w:rsidRPr="00120AEA" w:rsidRDefault="008C2217" w:rsidP="008C2217">
      <w:pPr>
        <w:spacing w:after="80"/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Ainsi, il se doit d’intervenir sur tous les domaines de la vie quotidienne : La mobilité, l’habitat, les déchets, l’urbanisme, les activités agricoles et industrielles.</w:t>
      </w:r>
    </w:p>
    <w:p w14:paraId="3AA0AC6F" w14:textId="77777777" w:rsidR="008C2217" w:rsidRPr="00120AEA" w:rsidRDefault="008C2217" w:rsidP="008C2217">
      <w:pPr>
        <w:jc w:val="both"/>
        <w:rPr>
          <w:rFonts w:ascii="Arial" w:hAnsi="Arial" w:cs="Arial"/>
          <w:sz w:val="20"/>
          <w:szCs w:val="20"/>
        </w:rPr>
      </w:pPr>
    </w:p>
    <w:p w14:paraId="57067472" w14:textId="6C71C948" w:rsidR="004E422E" w:rsidRPr="00120AEA" w:rsidRDefault="00650DC5" w:rsidP="00B8523E">
      <w:p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L</w:t>
      </w:r>
      <w:r w:rsidR="008C2217" w:rsidRPr="00120AEA">
        <w:rPr>
          <w:rFonts w:ascii="Arial" w:hAnsi="Arial" w:cs="Arial"/>
          <w:sz w:val="20"/>
          <w:szCs w:val="20"/>
        </w:rPr>
        <w:t xml:space="preserve">a mise en place du PCAET, </w:t>
      </w:r>
      <w:r w:rsidRPr="00120AEA">
        <w:rPr>
          <w:rFonts w:ascii="Arial" w:hAnsi="Arial" w:cs="Arial"/>
          <w:sz w:val="20"/>
          <w:szCs w:val="20"/>
        </w:rPr>
        <w:t xml:space="preserve">vise à </w:t>
      </w:r>
      <w:r w:rsidR="00856ABF" w:rsidRPr="00120AEA">
        <w:rPr>
          <w:rFonts w:ascii="Arial" w:hAnsi="Arial" w:cs="Arial"/>
          <w:sz w:val="20"/>
          <w:szCs w:val="20"/>
        </w:rPr>
        <w:t>se conformer aux objectifs internationaux, européens et nationaux de la transition énergétique</w:t>
      </w:r>
      <w:r w:rsidR="008C2217" w:rsidRPr="00120AEA">
        <w:rPr>
          <w:rFonts w:ascii="Arial" w:hAnsi="Arial" w:cs="Arial"/>
          <w:sz w:val="20"/>
          <w:szCs w:val="20"/>
        </w:rPr>
        <w:t>. Il traduit également la volonté d’engagement du territoire dans une démarche de transition énergétique.</w:t>
      </w:r>
    </w:p>
    <w:p w14:paraId="1C60A91B" w14:textId="77777777" w:rsidR="00B8523E" w:rsidRPr="00120AEA" w:rsidRDefault="00B8523E" w:rsidP="00B8523E">
      <w:pPr>
        <w:jc w:val="both"/>
        <w:rPr>
          <w:rFonts w:ascii="Arial" w:hAnsi="Arial" w:cs="Arial"/>
          <w:sz w:val="20"/>
          <w:szCs w:val="20"/>
        </w:rPr>
      </w:pPr>
    </w:p>
    <w:p w14:paraId="2DAE15F4" w14:textId="23B9DCE1" w:rsidR="00B04B84" w:rsidRPr="00120AEA" w:rsidRDefault="002A6B84" w:rsidP="00B04B84">
      <w:p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A travers l’élaboration de son PCAET</w:t>
      </w:r>
      <w:r w:rsidR="00650DC5" w:rsidRPr="00120AEA">
        <w:rPr>
          <w:rFonts w:ascii="Arial" w:hAnsi="Arial" w:cs="Arial"/>
          <w:sz w:val="20"/>
          <w:szCs w:val="20"/>
        </w:rPr>
        <w:t>,</w:t>
      </w:r>
      <w:r w:rsidRPr="00120AEA">
        <w:rPr>
          <w:rFonts w:ascii="Arial" w:hAnsi="Arial" w:cs="Arial"/>
          <w:sz w:val="20"/>
          <w:szCs w:val="20"/>
        </w:rPr>
        <w:t xml:space="preserve"> la CCPHB souhaite porter une ambition partagée avec les</w:t>
      </w:r>
      <w:r w:rsidR="00650DC5" w:rsidRPr="00120AEA">
        <w:rPr>
          <w:rFonts w:ascii="Arial" w:hAnsi="Arial" w:cs="Arial"/>
          <w:sz w:val="20"/>
          <w:szCs w:val="20"/>
        </w:rPr>
        <w:t xml:space="preserve"> forces vives du territoire</w:t>
      </w:r>
      <w:r w:rsidRPr="00120AEA">
        <w:rPr>
          <w:rFonts w:ascii="Arial" w:hAnsi="Arial" w:cs="Arial"/>
          <w:sz w:val="20"/>
          <w:szCs w:val="20"/>
        </w:rPr>
        <w:t xml:space="preserve"> </w:t>
      </w:r>
      <w:r w:rsidR="00650DC5" w:rsidRPr="00120AEA">
        <w:rPr>
          <w:rFonts w:ascii="Arial" w:hAnsi="Arial" w:cs="Arial"/>
          <w:sz w:val="20"/>
          <w:szCs w:val="20"/>
        </w:rPr>
        <w:t>(</w:t>
      </w:r>
      <w:r w:rsidRPr="00120AEA">
        <w:rPr>
          <w:rFonts w:ascii="Arial" w:hAnsi="Arial" w:cs="Arial"/>
          <w:sz w:val="20"/>
          <w:szCs w:val="20"/>
        </w:rPr>
        <w:t>communes, les professionnels</w:t>
      </w:r>
      <w:r w:rsidR="00650DC5" w:rsidRPr="00120AEA">
        <w:rPr>
          <w:rFonts w:ascii="Arial" w:hAnsi="Arial" w:cs="Arial"/>
          <w:sz w:val="20"/>
          <w:szCs w:val="20"/>
        </w:rPr>
        <w:t>, les associations, citoyens…)</w:t>
      </w:r>
      <w:r w:rsidRPr="00120AEA">
        <w:rPr>
          <w:rFonts w:ascii="Arial" w:hAnsi="Arial" w:cs="Arial"/>
          <w:sz w:val="20"/>
          <w:szCs w:val="20"/>
        </w:rPr>
        <w:t xml:space="preserve"> et contribuer à une évolution profonde des pratiques de chacun. Le PCAET devra ainsi conduire à la mise en œuvre d’actions et de projets concrets dans une dynamique partenariale. Compte-tenu de la nécessité d’impliquer largement tous les acteurs </w:t>
      </w:r>
      <w:r w:rsidR="00650DC5" w:rsidRPr="00120AEA">
        <w:rPr>
          <w:rFonts w:ascii="Arial" w:hAnsi="Arial" w:cs="Arial"/>
          <w:sz w:val="20"/>
          <w:szCs w:val="20"/>
        </w:rPr>
        <w:t xml:space="preserve">locaux </w:t>
      </w:r>
      <w:r w:rsidRPr="00120AEA">
        <w:rPr>
          <w:rFonts w:ascii="Arial" w:hAnsi="Arial" w:cs="Arial"/>
          <w:sz w:val="20"/>
          <w:szCs w:val="20"/>
        </w:rPr>
        <w:t>po</w:t>
      </w:r>
      <w:r w:rsidR="00650DC5" w:rsidRPr="00120AEA">
        <w:rPr>
          <w:rFonts w:ascii="Arial" w:hAnsi="Arial" w:cs="Arial"/>
          <w:sz w:val="20"/>
          <w:szCs w:val="20"/>
        </w:rPr>
        <w:t>ur</w:t>
      </w:r>
      <w:r w:rsidRPr="00120AEA">
        <w:rPr>
          <w:rFonts w:ascii="Arial" w:hAnsi="Arial" w:cs="Arial"/>
          <w:sz w:val="20"/>
          <w:szCs w:val="20"/>
        </w:rPr>
        <w:t xml:space="preserve"> relev</w:t>
      </w:r>
      <w:r w:rsidR="00650DC5" w:rsidRPr="00120AEA">
        <w:rPr>
          <w:rFonts w:ascii="Arial" w:hAnsi="Arial" w:cs="Arial"/>
          <w:sz w:val="20"/>
          <w:szCs w:val="20"/>
        </w:rPr>
        <w:t>er</w:t>
      </w:r>
      <w:r w:rsidRPr="00120AEA">
        <w:rPr>
          <w:rFonts w:ascii="Arial" w:hAnsi="Arial" w:cs="Arial"/>
          <w:sz w:val="20"/>
          <w:szCs w:val="20"/>
        </w:rPr>
        <w:t xml:space="preserve"> de défi du dérèglement climatique, l’élaboration du PCAET de la CCPHB s’appuiera sur une démarche participative.</w:t>
      </w:r>
    </w:p>
    <w:p w14:paraId="5D5CF4CD" w14:textId="522839C2" w:rsidR="005761D3" w:rsidRPr="00120AEA" w:rsidRDefault="005761D3" w:rsidP="00B04B84">
      <w:pPr>
        <w:jc w:val="both"/>
        <w:rPr>
          <w:rFonts w:ascii="Arial" w:hAnsi="Arial" w:cs="Arial"/>
          <w:sz w:val="20"/>
          <w:szCs w:val="20"/>
        </w:rPr>
      </w:pPr>
    </w:p>
    <w:p w14:paraId="31D6FEFF" w14:textId="60E98FE4" w:rsidR="00650DC5" w:rsidRPr="00120AEA" w:rsidRDefault="005761D3" w:rsidP="005761D3">
      <w:pPr>
        <w:spacing w:after="80"/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 xml:space="preserve">Par sa délibération du 2 avril 2019, la CCPHB a confié au SDEC </w:t>
      </w:r>
      <w:r w:rsidR="00650DC5" w:rsidRPr="00120AEA">
        <w:rPr>
          <w:rFonts w:ascii="Arial" w:hAnsi="Arial" w:cs="Arial"/>
          <w:sz w:val="20"/>
          <w:szCs w:val="20"/>
        </w:rPr>
        <w:t xml:space="preserve">une mission d’accompagnement pour </w:t>
      </w:r>
      <w:r w:rsidRPr="00120AEA">
        <w:rPr>
          <w:rFonts w:ascii="Arial" w:hAnsi="Arial" w:cs="Arial"/>
          <w:sz w:val="20"/>
          <w:szCs w:val="20"/>
        </w:rPr>
        <w:t>l’élaboration du PCAET.</w:t>
      </w:r>
      <w:r w:rsidR="00650DC5" w:rsidRPr="00120AEA">
        <w:rPr>
          <w:rFonts w:ascii="Arial" w:hAnsi="Arial" w:cs="Arial"/>
          <w:sz w:val="20"/>
          <w:szCs w:val="20"/>
        </w:rPr>
        <w:t xml:space="preserve"> Pour permettre à la collectivité de remplir ses obligations réglementaires, cet accompagnement comprend :</w:t>
      </w:r>
    </w:p>
    <w:p w14:paraId="75F382F7" w14:textId="77777777" w:rsidR="00650DC5" w:rsidRPr="00120AEA" w:rsidRDefault="00650DC5" w:rsidP="00650DC5">
      <w:pPr>
        <w:pStyle w:val="Paragraphedeliste"/>
        <w:numPr>
          <w:ilvl w:val="0"/>
          <w:numId w:val="8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U</w:t>
      </w:r>
      <w:r w:rsidR="005761D3" w:rsidRPr="00120AEA">
        <w:rPr>
          <w:rFonts w:ascii="Arial" w:hAnsi="Arial" w:cs="Arial"/>
          <w:sz w:val="20"/>
          <w:szCs w:val="20"/>
        </w:rPr>
        <w:t xml:space="preserve">n appui méthodologique, </w:t>
      </w:r>
    </w:p>
    <w:p w14:paraId="2B438148" w14:textId="77777777" w:rsidR="00650DC5" w:rsidRPr="00120AEA" w:rsidRDefault="00650DC5" w:rsidP="00650DC5">
      <w:pPr>
        <w:pStyle w:val="Paragraphedeliste"/>
        <w:numPr>
          <w:ilvl w:val="0"/>
          <w:numId w:val="8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U</w:t>
      </w:r>
      <w:r w:rsidR="005761D3" w:rsidRPr="00120AEA">
        <w:rPr>
          <w:rFonts w:ascii="Arial" w:hAnsi="Arial" w:cs="Arial"/>
          <w:sz w:val="20"/>
          <w:szCs w:val="20"/>
        </w:rPr>
        <w:t xml:space="preserve">n apport d’expertise </w:t>
      </w:r>
    </w:p>
    <w:p w14:paraId="6E67E42F" w14:textId="77777777" w:rsidR="00650DC5" w:rsidRPr="00120AEA" w:rsidRDefault="00650DC5" w:rsidP="00650DC5">
      <w:pPr>
        <w:pStyle w:val="Paragraphedeliste"/>
        <w:numPr>
          <w:ilvl w:val="0"/>
          <w:numId w:val="8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L</w:t>
      </w:r>
      <w:r w:rsidR="005761D3" w:rsidRPr="00120AEA">
        <w:rPr>
          <w:rFonts w:ascii="Arial" w:hAnsi="Arial" w:cs="Arial"/>
          <w:sz w:val="20"/>
          <w:szCs w:val="20"/>
        </w:rPr>
        <w:t>a mise à disposition d’outils</w:t>
      </w:r>
      <w:r w:rsidRPr="00120AEA">
        <w:rPr>
          <w:rFonts w:ascii="Arial" w:hAnsi="Arial" w:cs="Arial"/>
          <w:sz w:val="20"/>
          <w:szCs w:val="20"/>
        </w:rPr>
        <w:t>.</w:t>
      </w:r>
      <w:r w:rsidR="005761D3" w:rsidRPr="00120AEA">
        <w:rPr>
          <w:rFonts w:ascii="Arial" w:hAnsi="Arial" w:cs="Arial"/>
          <w:sz w:val="20"/>
          <w:szCs w:val="20"/>
        </w:rPr>
        <w:t xml:space="preserve"> </w:t>
      </w:r>
    </w:p>
    <w:p w14:paraId="6C3CA6C8" w14:textId="0C7E9006" w:rsidR="005761D3" w:rsidRPr="00120AEA" w:rsidRDefault="005761D3" w:rsidP="005761D3">
      <w:pPr>
        <w:spacing w:after="80"/>
        <w:jc w:val="both"/>
        <w:rPr>
          <w:rFonts w:ascii="Arial" w:hAnsi="Arial" w:cs="Arial"/>
        </w:rPr>
      </w:pPr>
      <w:r w:rsidRPr="00120AEA">
        <w:rPr>
          <w:rFonts w:ascii="Arial" w:hAnsi="Arial" w:cs="Arial"/>
          <w:sz w:val="20"/>
          <w:szCs w:val="20"/>
        </w:rPr>
        <w:t>Le travail du SDEC se fera en étroite collaboration avec le SIEGE 27.</w:t>
      </w:r>
    </w:p>
    <w:p w14:paraId="0A8CF1A2" w14:textId="77777777" w:rsidR="00AC0906" w:rsidRPr="00B8523E" w:rsidRDefault="00AC0906" w:rsidP="00B04B84">
      <w:pPr>
        <w:jc w:val="both"/>
        <w:rPr>
          <w:rFonts w:ascii="Arial" w:hAnsi="Arial" w:cs="Arial"/>
          <w:sz w:val="20"/>
          <w:szCs w:val="20"/>
        </w:rPr>
      </w:pPr>
    </w:p>
    <w:p w14:paraId="5C1E8BF9" w14:textId="77777777" w:rsidR="0007003D" w:rsidRPr="00856ABF" w:rsidRDefault="00956B44" w:rsidP="00956B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04B84">
        <w:rPr>
          <w:rFonts w:ascii="Arial" w:hAnsi="Arial" w:cs="Arial"/>
          <w:b/>
          <w:bCs/>
          <w:sz w:val="20"/>
          <w:szCs w:val="20"/>
        </w:rPr>
        <w:t>II</w:t>
      </w:r>
      <w:r w:rsidR="00B04B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B04B84">
        <w:rPr>
          <w:rFonts w:ascii="Arial" w:hAnsi="Arial" w:cs="Arial"/>
          <w:b/>
          <w:bCs/>
          <w:sz w:val="20"/>
          <w:szCs w:val="20"/>
        </w:rPr>
        <w:t xml:space="preserve">- Le cas échéant, le plan ou le programme dont il découle. </w:t>
      </w:r>
    </w:p>
    <w:p w14:paraId="1AECAB2C" w14:textId="77777777" w:rsidR="00856ABF" w:rsidRDefault="00856ABF" w:rsidP="00856ABF">
      <w:pPr>
        <w:jc w:val="both"/>
        <w:rPr>
          <w:rFonts w:ascii="Arial" w:hAnsi="Arial" w:cs="Arial"/>
          <w:sz w:val="20"/>
          <w:szCs w:val="20"/>
        </w:rPr>
      </w:pPr>
    </w:p>
    <w:p w14:paraId="046F770D" w14:textId="77777777" w:rsidR="00856ABF" w:rsidRPr="00120AEA" w:rsidRDefault="00856ABF" w:rsidP="00856ABF">
      <w:p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 xml:space="preserve">Le PCAET s’inscrit dans la lignée de l’Accord de Paris, adopté le 12 décembre 2015 lors de la COP21, et qui fixe l’objectif d’une limitation du réchauffement climatique en dessous de 2°C à l’horizon 2100. </w:t>
      </w:r>
    </w:p>
    <w:p w14:paraId="4336ECD0" w14:textId="77777777" w:rsidR="00856ABF" w:rsidRPr="00120AEA" w:rsidRDefault="00856ABF" w:rsidP="00956B44">
      <w:pPr>
        <w:jc w:val="both"/>
        <w:rPr>
          <w:rFonts w:ascii="Arial" w:hAnsi="Arial" w:cs="Arial"/>
          <w:sz w:val="20"/>
          <w:szCs w:val="20"/>
        </w:rPr>
      </w:pPr>
    </w:p>
    <w:p w14:paraId="2D27BF28" w14:textId="5DC36AE2" w:rsidR="00856ABF" w:rsidRPr="00120AEA" w:rsidRDefault="00856ABF" w:rsidP="00956B44">
      <w:p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 xml:space="preserve">Au niveau européen, le </w:t>
      </w:r>
      <w:r w:rsidR="00650DC5" w:rsidRPr="00120AEA">
        <w:rPr>
          <w:rFonts w:ascii="Arial" w:hAnsi="Arial" w:cs="Arial"/>
          <w:sz w:val="20"/>
          <w:szCs w:val="20"/>
        </w:rPr>
        <w:t>« </w:t>
      </w:r>
      <w:r w:rsidRPr="00120AEA">
        <w:rPr>
          <w:rFonts w:ascii="Arial" w:hAnsi="Arial" w:cs="Arial"/>
          <w:sz w:val="20"/>
          <w:szCs w:val="20"/>
        </w:rPr>
        <w:t>paquet énergie climat</w:t>
      </w:r>
      <w:r w:rsidR="00650DC5" w:rsidRPr="00120AEA">
        <w:rPr>
          <w:rFonts w:ascii="Arial" w:hAnsi="Arial" w:cs="Arial"/>
          <w:sz w:val="20"/>
          <w:szCs w:val="20"/>
        </w:rPr>
        <w:t> »</w:t>
      </w:r>
      <w:r w:rsidRPr="00120AEA">
        <w:rPr>
          <w:rFonts w:ascii="Arial" w:hAnsi="Arial" w:cs="Arial"/>
          <w:sz w:val="20"/>
          <w:szCs w:val="20"/>
        </w:rPr>
        <w:t xml:space="preserve"> traduit des objectifs précis en matière de lutte pour le climat à l’horizon 2020 (ensemble de directives, règlements et décisions).  </w:t>
      </w:r>
    </w:p>
    <w:p w14:paraId="68DD21F8" w14:textId="77777777" w:rsidR="00856ABF" w:rsidRPr="00120AEA" w:rsidRDefault="00856ABF" w:rsidP="00956B44">
      <w:pPr>
        <w:jc w:val="both"/>
        <w:rPr>
          <w:rFonts w:ascii="Arial" w:hAnsi="Arial" w:cs="Arial"/>
          <w:sz w:val="20"/>
          <w:szCs w:val="20"/>
        </w:rPr>
      </w:pPr>
    </w:p>
    <w:p w14:paraId="066D0907" w14:textId="77777777" w:rsidR="00B04B84" w:rsidRPr="00120AEA" w:rsidRDefault="0007003D" w:rsidP="00956B44">
      <w:p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 xml:space="preserve">En France, la loi n°2015-992 du 17 août 2015 relative à la transition énergétique pour la croissance verte définit les objectifs nationaux aux horizons 2030 et 2050, à savoir : </w:t>
      </w:r>
    </w:p>
    <w:p w14:paraId="20001488" w14:textId="77777777" w:rsidR="00313A96" w:rsidRPr="00120AEA" w:rsidRDefault="00313A96" w:rsidP="009B79B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 xml:space="preserve">La réduction des émissions de gaz à effet de serre de 40% par rapport à 1990 à l’horizon 2030, et diviser par 4 les émissions de gaz à effet de serre entre 1990 et 2050 ; </w:t>
      </w:r>
    </w:p>
    <w:p w14:paraId="3E2067B8" w14:textId="77777777" w:rsidR="00313A96" w:rsidRPr="00120AEA" w:rsidRDefault="00313A96" w:rsidP="00313A9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 xml:space="preserve">La réduction de 20% de la consommation énergétique finale par rapport à 2012 à l’horizon 2030, et sa diminution par 2 à l’horizon 2050 ; </w:t>
      </w:r>
    </w:p>
    <w:p w14:paraId="7C37CE2A" w14:textId="77777777" w:rsidR="00313A96" w:rsidRPr="00120AEA" w:rsidRDefault="00313A96" w:rsidP="00313A9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lastRenderedPageBreak/>
        <w:t>Objectif de 32% d’énergies renouvelables dans la consommation finale d’énergie à l’horizon 2030.</w:t>
      </w:r>
    </w:p>
    <w:p w14:paraId="03ED16AD" w14:textId="77777777" w:rsidR="00B04B84" w:rsidRPr="00120AEA" w:rsidRDefault="004E422E" w:rsidP="00313A96">
      <w:p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 xml:space="preserve">Cette loi impose aux EPCI de plus de 20 000 habitants d’élaborer un Plan Climat Air Energie Territorial. </w:t>
      </w:r>
    </w:p>
    <w:p w14:paraId="398B903D" w14:textId="77777777" w:rsidR="004E422E" w:rsidRPr="00120AEA" w:rsidRDefault="004E422E" w:rsidP="00313A96">
      <w:pPr>
        <w:jc w:val="both"/>
        <w:rPr>
          <w:rFonts w:ascii="Arial" w:hAnsi="Arial" w:cs="Arial"/>
          <w:sz w:val="20"/>
          <w:szCs w:val="20"/>
        </w:rPr>
      </w:pPr>
    </w:p>
    <w:p w14:paraId="3A294023" w14:textId="77777777" w:rsidR="004E422E" w:rsidRPr="00120AEA" w:rsidRDefault="004E422E" w:rsidP="004E422E">
      <w:p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 xml:space="preserve">Le PCAET doit </w:t>
      </w:r>
      <w:r w:rsidR="002D7A19" w:rsidRPr="00120AEA">
        <w:rPr>
          <w:rFonts w:ascii="Arial" w:hAnsi="Arial" w:cs="Arial"/>
          <w:sz w:val="20"/>
          <w:szCs w:val="20"/>
        </w:rPr>
        <w:t xml:space="preserve">être compatible avec </w:t>
      </w:r>
      <w:r w:rsidRPr="00120AEA">
        <w:rPr>
          <w:rFonts w:ascii="Arial" w:hAnsi="Arial" w:cs="Arial"/>
          <w:sz w:val="20"/>
          <w:szCs w:val="20"/>
        </w:rPr>
        <w:t xml:space="preserve">les orientations définies par le Schéma Régional d’Aménagement, de Développement Durable et d’Egalité des Territoires (SRADDET) de la Région Normandie arrêté le 17 décembre 2018. </w:t>
      </w:r>
    </w:p>
    <w:p w14:paraId="5B8E5F99" w14:textId="77777777" w:rsidR="002D7A19" w:rsidRPr="00120AEA" w:rsidRDefault="002D7A19" w:rsidP="004E422E">
      <w:p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Par ailleurs, ce plan doit prendre en compte les orientations fixées par le Schéma de Cohérence Territorial du Nord Pays d’Auge (SCoT).</w:t>
      </w:r>
    </w:p>
    <w:p w14:paraId="7FF64519" w14:textId="77777777" w:rsidR="004E422E" w:rsidRPr="00120AEA" w:rsidRDefault="00201615" w:rsidP="00313A96">
      <w:p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A l’échelle locale, le PCAET sera élaboré dans une démarche commune à celle du Plan Local d’Urbanisme Intercommunal (PLUi) et le Plan Local de l’Habitat (PLH)</w:t>
      </w:r>
      <w:r w:rsidR="003C3EF5" w:rsidRPr="00120AEA">
        <w:rPr>
          <w:rFonts w:ascii="Arial" w:hAnsi="Arial" w:cs="Arial"/>
          <w:sz w:val="20"/>
          <w:szCs w:val="20"/>
        </w:rPr>
        <w:t xml:space="preserve"> lancés conjointement</w:t>
      </w:r>
      <w:r w:rsidRPr="00120AEA">
        <w:rPr>
          <w:rFonts w:ascii="Arial" w:hAnsi="Arial" w:cs="Arial"/>
          <w:sz w:val="20"/>
          <w:szCs w:val="20"/>
        </w:rPr>
        <w:t xml:space="preserve">. </w:t>
      </w:r>
    </w:p>
    <w:p w14:paraId="15838325" w14:textId="77777777" w:rsidR="005761D3" w:rsidRPr="00120AEA" w:rsidRDefault="005761D3" w:rsidP="00956B44">
      <w:pPr>
        <w:jc w:val="both"/>
        <w:rPr>
          <w:rFonts w:cs="Arial"/>
          <w:sz w:val="20"/>
          <w:szCs w:val="20"/>
        </w:rPr>
      </w:pPr>
    </w:p>
    <w:p w14:paraId="235DECD6" w14:textId="5F79041B" w:rsidR="00B04B84" w:rsidRPr="00120AEA" w:rsidRDefault="00956B44" w:rsidP="005761D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20AEA">
        <w:rPr>
          <w:rFonts w:ascii="Arial" w:hAnsi="Arial" w:cs="Arial"/>
          <w:b/>
          <w:bCs/>
          <w:sz w:val="20"/>
          <w:szCs w:val="20"/>
        </w:rPr>
        <w:t>III</w:t>
      </w:r>
      <w:r w:rsidR="00B04B84" w:rsidRPr="00120AEA">
        <w:rPr>
          <w:rFonts w:ascii="Arial" w:hAnsi="Arial" w:cs="Arial"/>
          <w:b/>
          <w:bCs/>
          <w:sz w:val="20"/>
          <w:szCs w:val="20"/>
        </w:rPr>
        <w:t xml:space="preserve"> </w:t>
      </w:r>
      <w:r w:rsidRPr="00120AEA">
        <w:rPr>
          <w:rFonts w:ascii="Arial" w:hAnsi="Arial" w:cs="Arial"/>
          <w:b/>
          <w:bCs/>
          <w:sz w:val="20"/>
          <w:szCs w:val="20"/>
        </w:rPr>
        <w:t>-</w:t>
      </w:r>
      <w:r w:rsidR="00B04B84" w:rsidRPr="00120AEA">
        <w:rPr>
          <w:rFonts w:ascii="Arial" w:hAnsi="Arial" w:cs="Arial"/>
          <w:b/>
          <w:bCs/>
          <w:sz w:val="20"/>
          <w:szCs w:val="20"/>
        </w:rPr>
        <w:t xml:space="preserve"> </w:t>
      </w:r>
      <w:r w:rsidRPr="00120AEA">
        <w:rPr>
          <w:rFonts w:ascii="Arial" w:hAnsi="Arial" w:cs="Arial"/>
          <w:b/>
          <w:bCs/>
          <w:sz w:val="20"/>
          <w:szCs w:val="20"/>
        </w:rPr>
        <w:t>L</w:t>
      </w:r>
      <w:r w:rsidR="00B04B84" w:rsidRPr="00120AEA">
        <w:rPr>
          <w:rFonts w:ascii="Arial" w:hAnsi="Arial" w:cs="Arial"/>
          <w:b/>
          <w:bCs/>
          <w:sz w:val="20"/>
          <w:szCs w:val="20"/>
        </w:rPr>
        <w:t>iste d</w:t>
      </w:r>
      <w:r w:rsidRPr="00120AEA">
        <w:rPr>
          <w:rFonts w:ascii="Arial" w:hAnsi="Arial" w:cs="Arial"/>
          <w:b/>
          <w:bCs/>
          <w:sz w:val="20"/>
          <w:szCs w:val="20"/>
        </w:rPr>
        <w:t xml:space="preserve">es communes </w:t>
      </w:r>
      <w:r w:rsidR="00B04B84" w:rsidRPr="00120AEA">
        <w:rPr>
          <w:rFonts w:ascii="Arial" w:hAnsi="Arial" w:cs="Arial"/>
          <w:b/>
          <w:bCs/>
          <w:sz w:val="20"/>
          <w:szCs w:val="20"/>
        </w:rPr>
        <w:t>comprises</w:t>
      </w:r>
      <w:r w:rsidRPr="00120AEA">
        <w:rPr>
          <w:rFonts w:ascii="Arial" w:hAnsi="Arial" w:cs="Arial"/>
          <w:b/>
          <w:bCs/>
          <w:sz w:val="20"/>
          <w:szCs w:val="20"/>
        </w:rPr>
        <w:t xml:space="preserve"> sur le territoire de l’EPCI.</w:t>
      </w:r>
    </w:p>
    <w:p w14:paraId="65539931" w14:textId="77777777" w:rsidR="00B04B84" w:rsidRPr="00120AEA" w:rsidRDefault="00B04B84" w:rsidP="00B04B84">
      <w:pPr>
        <w:jc w:val="center"/>
        <w:rPr>
          <w:rFonts w:cs="Arial"/>
          <w:sz w:val="20"/>
          <w:szCs w:val="20"/>
        </w:rPr>
      </w:pPr>
    </w:p>
    <w:p w14:paraId="5328E9A1" w14:textId="733D4090" w:rsidR="00AC0906" w:rsidRPr="00120AEA" w:rsidRDefault="00AC0906" w:rsidP="00AC0906">
      <w:p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La Communauté de Communes du Pays de Honfleur-Beuzeville est composée des 2</w:t>
      </w:r>
      <w:r w:rsidR="00216014" w:rsidRPr="00120AEA">
        <w:rPr>
          <w:rFonts w:ascii="Arial" w:hAnsi="Arial" w:cs="Arial"/>
          <w:sz w:val="20"/>
          <w:szCs w:val="20"/>
        </w:rPr>
        <w:t>3</w:t>
      </w:r>
      <w:r w:rsidRPr="00120AEA">
        <w:rPr>
          <w:rFonts w:ascii="Arial" w:hAnsi="Arial" w:cs="Arial"/>
          <w:sz w:val="20"/>
          <w:szCs w:val="20"/>
        </w:rPr>
        <w:t xml:space="preserve"> communes suivantes : </w:t>
      </w:r>
    </w:p>
    <w:p w14:paraId="6397B6DA" w14:textId="7C37B339" w:rsidR="00B04B84" w:rsidRPr="00120AEA" w:rsidRDefault="00B04B84" w:rsidP="00B04B84">
      <w:p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Ablon,</w:t>
      </w:r>
      <w:r w:rsidR="009B79BE" w:rsidRPr="00120AEA">
        <w:rPr>
          <w:rFonts w:ascii="Arial" w:hAnsi="Arial" w:cs="Arial"/>
          <w:sz w:val="20"/>
          <w:szCs w:val="20"/>
        </w:rPr>
        <w:t xml:space="preserve"> </w:t>
      </w:r>
      <w:r w:rsidRPr="00120AEA">
        <w:rPr>
          <w:rFonts w:ascii="Arial" w:hAnsi="Arial" w:cs="Arial"/>
          <w:sz w:val="20"/>
          <w:szCs w:val="20"/>
        </w:rPr>
        <w:t xml:space="preserve">Barneville-la-Bertran, Berville-sur-Mer, Beuzeville, Boulleville, Conteville, Cricqueboeuf, Equemauville, Fatouville-Grestain, Fiquefleur-Equainville, Foulbec, Fourneville, Genneville, Gonneville-Sur-Honfleur, Honfleur, </w:t>
      </w:r>
      <w:r w:rsidR="00650DC5" w:rsidRPr="00120AEA">
        <w:rPr>
          <w:rFonts w:ascii="Arial" w:hAnsi="Arial" w:cs="Arial"/>
          <w:sz w:val="20"/>
          <w:szCs w:val="20"/>
        </w:rPr>
        <w:t xml:space="preserve">La Rivière-Saint-Sauveur, Le Theil-En-Auge, </w:t>
      </w:r>
      <w:r w:rsidRPr="00120AEA">
        <w:rPr>
          <w:rFonts w:ascii="Arial" w:hAnsi="Arial" w:cs="Arial"/>
          <w:sz w:val="20"/>
          <w:szCs w:val="20"/>
        </w:rPr>
        <w:t xml:space="preserve">Manneville-La-Raoult, Pennedepie, Quetteville, Saint-Maclou, Saint-Pierre-Du-Val, Saint-Sulpice-De-Grimbouville, Vasouy (commune fusionnée avec Honfleur). </w:t>
      </w:r>
    </w:p>
    <w:p w14:paraId="4E4EC294" w14:textId="77777777" w:rsidR="00B04B84" w:rsidRDefault="00B04B84" w:rsidP="00956B44">
      <w:pPr>
        <w:jc w:val="both"/>
        <w:rPr>
          <w:rFonts w:ascii="Arial" w:hAnsi="Arial" w:cs="Arial"/>
          <w:sz w:val="20"/>
          <w:szCs w:val="20"/>
        </w:rPr>
      </w:pPr>
    </w:p>
    <w:p w14:paraId="3E8B8B7F" w14:textId="77777777" w:rsidR="00956B44" w:rsidRPr="00B04B84" w:rsidRDefault="00956B44" w:rsidP="00956B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04B84">
        <w:rPr>
          <w:rFonts w:ascii="Arial" w:hAnsi="Arial" w:cs="Arial"/>
          <w:b/>
          <w:bCs/>
          <w:sz w:val="20"/>
          <w:szCs w:val="20"/>
        </w:rPr>
        <w:t>IV – Aperçu des incidences potentielles sur l’environnement.</w:t>
      </w:r>
    </w:p>
    <w:p w14:paraId="0A7357EA" w14:textId="77777777" w:rsidR="00B04B84" w:rsidRDefault="00B04B84" w:rsidP="00956B44">
      <w:pPr>
        <w:jc w:val="both"/>
        <w:rPr>
          <w:rFonts w:ascii="Arial" w:hAnsi="Arial" w:cs="Arial"/>
          <w:sz w:val="20"/>
          <w:szCs w:val="20"/>
        </w:rPr>
      </w:pPr>
    </w:p>
    <w:p w14:paraId="06005825" w14:textId="19FD9993" w:rsidR="00D651E2" w:rsidRPr="00120AEA" w:rsidRDefault="00D651E2" w:rsidP="00D651E2">
      <w:p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 xml:space="preserve">Le territoire faisant l’objet de nombreuses spécificités environnementales, la procédure du PCAET est soumise à l’évaluation environnementale. </w:t>
      </w:r>
      <w:r w:rsidR="002A6B84" w:rsidRPr="00120AEA">
        <w:rPr>
          <w:rFonts w:ascii="Arial" w:hAnsi="Arial" w:cs="Arial"/>
          <w:sz w:val="20"/>
          <w:szCs w:val="20"/>
        </w:rPr>
        <w:t>Il s’agit d’une approche impérative afin de rechercher le meilleur compromis entre les objectifs et les i</w:t>
      </w:r>
      <w:r w:rsidR="008C2217" w:rsidRPr="00120AEA">
        <w:rPr>
          <w:rFonts w:ascii="Arial" w:hAnsi="Arial" w:cs="Arial"/>
          <w:sz w:val="20"/>
          <w:szCs w:val="20"/>
        </w:rPr>
        <w:t>mpacts</w:t>
      </w:r>
      <w:r w:rsidR="002A6B84" w:rsidRPr="00120AEA">
        <w:rPr>
          <w:rFonts w:ascii="Arial" w:hAnsi="Arial" w:cs="Arial"/>
          <w:sz w:val="20"/>
          <w:szCs w:val="20"/>
        </w:rPr>
        <w:t xml:space="preserve"> du PCAET.</w:t>
      </w:r>
    </w:p>
    <w:p w14:paraId="56423664" w14:textId="77777777" w:rsidR="00D651E2" w:rsidRPr="00120AEA" w:rsidRDefault="00D651E2" w:rsidP="00956B44">
      <w:pPr>
        <w:jc w:val="both"/>
        <w:rPr>
          <w:rFonts w:ascii="Arial" w:hAnsi="Arial" w:cs="Arial"/>
          <w:sz w:val="20"/>
          <w:szCs w:val="20"/>
        </w:rPr>
      </w:pPr>
    </w:p>
    <w:p w14:paraId="1F864CD1" w14:textId="4C4B8503" w:rsidR="00B8523E" w:rsidRPr="00120AEA" w:rsidRDefault="002A6B84" w:rsidP="00956B44">
      <w:p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 xml:space="preserve">Le PCAET est une démarche territoriale à la fois stratégique et opérationnelle. Il est constitué de </w:t>
      </w:r>
      <w:r w:rsidR="008C2217" w:rsidRPr="00120AEA">
        <w:rPr>
          <w:rFonts w:ascii="Arial" w:hAnsi="Arial" w:cs="Arial"/>
          <w:sz w:val="20"/>
          <w:szCs w:val="20"/>
        </w:rPr>
        <w:t xml:space="preserve">quatre </w:t>
      </w:r>
      <w:r w:rsidR="00120AEA" w:rsidRPr="00120AEA">
        <w:rPr>
          <w:rFonts w:ascii="Arial" w:hAnsi="Arial" w:cs="Arial"/>
          <w:sz w:val="20"/>
          <w:szCs w:val="20"/>
        </w:rPr>
        <w:t>volets :</w:t>
      </w:r>
    </w:p>
    <w:p w14:paraId="12A6FC97" w14:textId="77777777" w:rsidR="00B8523E" w:rsidRPr="00120AEA" w:rsidRDefault="00B8523E" w:rsidP="00B8523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U</w:t>
      </w:r>
      <w:r w:rsidR="00201615" w:rsidRPr="00120AEA">
        <w:rPr>
          <w:rFonts w:ascii="Arial" w:hAnsi="Arial" w:cs="Arial"/>
          <w:sz w:val="20"/>
          <w:szCs w:val="20"/>
        </w:rPr>
        <w:t>n diagnostic du territoire</w:t>
      </w:r>
      <w:r w:rsidR="00E90B34" w:rsidRPr="00120AEA">
        <w:rPr>
          <w:rFonts w:ascii="Arial" w:hAnsi="Arial" w:cs="Arial"/>
          <w:sz w:val="20"/>
          <w:szCs w:val="20"/>
        </w:rPr>
        <w:t>,</w:t>
      </w:r>
    </w:p>
    <w:p w14:paraId="078FC6F1" w14:textId="77777777" w:rsidR="00B8523E" w:rsidRPr="00120AEA" w:rsidRDefault="00B8523E" w:rsidP="00B8523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U</w:t>
      </w:r>
      <w:r w:rsidR="00201615" w:rsidRPr="00120AEA">
        <w:rPr>
          <w:rFonts w:ascii="Arial" w:hAnsi="Arial" w:cs="Arial"/>
          <w:sz w:val="20"/>
          <w:szCs w:val="20"/>
        </w:rPr>
        <w:t xml:space="preserve">ne stratégie territoriale comprenant des objectifs et </w:t>
      </w:r>
    </w:p>
    <w:p w14:paraId="04DAA173" w14:textId="0E60A668" w:rsidR="00B8523E" w:rsidRPr="00120AEA" w:rsidRDefault="00B8523E" w:rsidP="00B8523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U</w:t>
      </w:r>
      <w:r w:rsidR="00E90B34" w:rsidRPr="00120AEA">
        <w:rPr>
          <w:rFonts w:ascii="Arial" w:hAnsi="Arial" w:cs="Arial"/>
          <w:sz w:val="20"/>
          <w:szCs w:val="20"/>
        </w:rPr>
        <w:t xml:space="preserve">n programme </w:t>
      </w:r>
      <w:r w:rsidRPr="00120AEA">
        <w:rPr>
          <w:rFonts w:ascii="Arial" w:hAnsi="Arial" w:cs="Arial"/>
          <w:sz w:val="20"/>
          <w:szCs w:val="20"/>
        </w:rPr>
        <w:t>d’actions,</w:t>
      </w:r>
    </w:p>
    <w:p w14:paraId="452D87F3" w14:textId="65A0A00A" w:rsidR="009B79BE" w:rsidRPr="00120AEA" w:rsidRDefault="00B8523E" w:rsidP="00B8523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U</w:t>
      </w:r>
      <w:r w:rsidR="00E90B34" w:rsidRPr="00120AEA">
        <w:rPr>
          <w:rFonts w:ascii="Arial" w:hAnsi="Arial" w:cs="Arial"/>
          <w:sz w:val="20"/>
          <w:szCs w:val="20"/>
        </w:rPr>
        <w:t xml:space="preserve">n dispositif de suivi et d’évaluation. </w:t>
      </w:r>
    </w:p>
    <w:p w14:paraId="5E28835C" w14:textId="77777777" w:rsidR="00B8523E" w:rsidRPr="00120AEA" w:rsidRDefault="00B8523E" w:rsidP="00B8523E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14:paraId="7EC54526" w14:textId="77672DF5" w:rsidR="009B79BE" w:rsidRPr="00120AEA" w:rsidRDefault="00E90B34" w:rsidP="00956B44">
      <w:p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 xml:space="preserve">Le but du PCAET est d’agir sur les différents points suivants : </w:t>
      </w:r>
    </w:p>
    <w:p w14:paraId="4C5B0AA9" w14:textId="77777777" w:rsidR="008C2217" w:rsidRPr="00120AEA" w:rsidRDefault="008C2217" w:rsidP="00956B44">
      <w:pPr>
        <w:jc w:val="both"/>
        <w:rPr>
          <w:rFonts w:ascii="Arial" w:hAnsi="Arial" w:cs="Arial"/>
          <w:sz w:val="20"/>
          <w:szCs w:val="20"/>
        </w:rPr>
      </w:pPr>
    </w:p>
    <w:p w14:paraId="78005176" w14:textId="77777777" w:rsidR="008C2217" w:rsidRPr="00120AEA" w:rsidRDefault="008C2217" w:rsidP="008C2217">
      <w:pPr>
        <w:pStyle w:val="Paragraphedeliste"/>
        <w:numPr>
          <w:ilvl w:val="0"/>
          <w:numId w:val="7"/>
        </w:numPr>
        <w:spacing w:after="80" w:line="259" w:lineRule="auto"/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Réduire les émissions de gaz à effet de serre.</w:t>
      </w:r>
    </w:p>
    <w:p w14:paraId="3F421D45" w14:textId="77777777" w:rsidR="008C2217" w:rsidRPr="00120AEA" w:rsidRDefault="008C2217" w:rsidP="008C2217">
      <w:pPr>
        <w:pStyle w:val="Paragraphedeliste"/>
        <w:numPr>
          <w:ilvl w:val="0"/>
          <w:numId w:val="7"/>
        </w:numPr>
        <w:spacing w:after="80" w:line="259" w:lineRule="auto"/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Se préparer au changement climatique.</w:t>
      </w:r>
    </w:p>
    <w:p w14:paraId="6669AE37" w14:textId="77777777" w:rsidR="008C2217" w:rsidRPr="00120AEA" w:rsidRDefault="008C2217" w:rsidP="008C2217">
      <w:pPr>
        <w:pStyle w:val="Paragraphedeliste"/>
        <w:numPr>
          <w:ilvl w:val="0"/>
          <w:numId w:val="7"/>
        </w:numPr>
        <w:spacing w:after="80" w:line="259" w:lineRule="auto"/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Renforcer la sobriété énergétique.</w:t>
      </w:r>
    </w:p>
    <w:p w14:paraId="7F4D5F20" w14:textId="77777777" w:rsidR="008C2217" w:rsidRPr="00120AEA" w:rsidRDefault="008C2217" w:rsidP="008C2217">
      <w:pPr>
        <w:pStyle w:val="Paragraphedeliste"/>
        <w:numPr>
          <w:ilvl w:val="0"/>
          <w:numId w:val="7"/>
        </w:numPr>
        <w:spacing w:after="80" w:line="259" w:lineRule="auto"/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 xml:space="preserve">Développer les énergies renouvelables </w:t>
      </w:r>
    </w:p>
    <w:p w14:paraId="526140D0" w14:textId="7B3AD304" w:rsidR="008C2217" w:rsidRPr="00120AEA" w:rsidRDefault="008C2217" w:rsidP="00956B44">
      <w:pPr>
        <w:pStyle w:val="Paragraphedeliste"/>
        <w:numPr>
          <w:ilvl w:val="0"/>
          <w:numId w:val="7"/>
        </w:numPr>
        <w:spacing w:after="80" w:line="259" w:lineRule="auto"/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Améliorer la qualité de l’air.</w:t>
      </w:r>
    </w:p>
    <w:p w14:paraId="057FF6F1" w14:textId="77777777" w:rsidR="009B79BE" w:rsidRDefault="009B79BE" w:rsidP="00956B44">
      <w:pPr>
        <w:jc w:val="both"/>
        <w:rPr>
          <w:rFonts w:ascii="Arial" w:hAnsi="Arial" w:cs="Arial"/>
          <w:sz w:val="20"/>
          <w:szCs w:val="20"/>
        </w:rPr>
      </w:pPr>
    </w:p>
    <w:p w14:paraId="19311FF8" w14:textId="77777777" w:rsidR="009B79BE" w:rsidRPr="00903B66" w:rsidRDefault="00956B44" w:rsidP="00956B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04B84">
        <w:rPr>
          <w:rFonts w:ascii="Arial" w:hAnsi="Arial" w:cs="Arial"/>
          <w:b/>
          <w:bCs/>
          <w:sz w:val="20"/>
          <w:szCs w:val="20"/>
        </w:rPr>
        <w:t>V – Les modalités de concertation préalable du public.</w:t>
      </w:r>
    </w:p>
    <w:p w14:paraId="0CA42B36" w14:textId="77777777" w:rsidR="009B79BE" w:rsidRDefault="009B79BE" w:rsidP="00956B44">
      <w:pPr>
        <w:jc w:val="both"/>
        <w:rPr>
          <w:rFonts w:ascii="Arial" w:hAnsi="Arial" w:cs="Arial"/>
          <w:sz w:val="20"/>
          <w:szCs w:val="20"/>
        </w:rPr>
      </w:pPr>
    </w:p>
    <w:p w14:paraId="4362A8C2" w14:textId="7F0F0AC8" w:rsidR="008C2217" w:rsidRPr="00120AEA" w:rsidRDefault="008C2217" w:rsidP="008C2217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En parallèle de la procédure réglementaire d’approbation du PCAET, comprenant notamment une consultation du public par voie numérique, un temps fort de sensibilisation</w:t>
      </w:r>
      <w:r w:rsidR="002667ED" w:rsidRPr="00120AEA">
        <w:rPr>
          <w:rFonts w:ascii="Arial" w:hAnsi="Arial" w:cs="Arial"/>
          <w:sz w:val="20"/>
          <w:szCs w:val="20"/>
        </w:rPr>
        <w:t xml:space="preserve"> (au moment du plan d’action)</w:t>
      </w:r>
      <w:r w:rsidRPr="00120AEA">
        <w:rPr>
          <w:rFonts w:ascii="Arial" w:hAnsi="Arial" w:cs="Arial"/>
          <w:sz w:val="20"/>
          <w:szCs w:val="20"/>
        </w:rPr>
        <w:t xml:space="preserve"> sera organisé en lien avec les écoles du territoire. Il s’appuiera sur l’outil d’animation « 2050 » de la Maison de l’énergie du SDEC ENERGIE qui sera mis à disposition sur le territoire pour une durée à définir</w:t>
      </w:r>
      <w:r w:rsidR="002667ED" w:rsidRPr="00120AEA">
        <w:rPr>
          <w:rFonts w:ascii="Arial" w:hAnsi="Arial" w:cs="Arial"/>
          <w:sz w:val="20"/>
          <w:szCs w:val="20"/>
        </w:rPr>
        <w:t xml:space="preserve"> </w:t>
      </w:r>
      <w:r w:rsidRPr="00120AEA">
        <w:rPr>
          <w:rFonts w:ascii="Arial" w:hAnsi="Arial" w:cs="Arial"/>
          <w:sz w:val="20"/>
          <w:szCs w:val="20"/>
        </w:rPr>
        <w:t xml:space="preserve">de 1 à 2 mois. Le SDEC ENERGIE coordonnera le projet en lien étroit avec la CCPHB afin d’impliquer les écoles primaires et/ou collèges du territoire. </w:t>
      </w:r>
    </w:p>
    <w:p w14:paraId="3AF105B3" w14:textId="0FBA0B47" w:rsidR="008C2217" w:rsidRPr="00120AEA" w:rsidRDefault="008C2217" w:rsidP="008C2217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La démarche servira de point d’appui pour l’information des habitants sur la consultation sur le projet de PCAET.</w:t>
      </w:r>
    </w:p>
    <w:p w14:paraId="6F4F4FE6" w14:textId="4DBACEC2" w:rsidR="002667ED" w:rsidRPr="00120AEA" w:rsidRDefault="002667ED" w:rsidP="008C2217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 xml:space="preserve">Il est prévu que d’autres modalités de concertation complémentaires soient définies par le </w:t>
      </w:r>
      <w:r w:rsidR="00120AEA">
        <w:rPr>
          <w:rFonts w:ascii="Arial" w:hAnsi="Arial" w:cs="Arial"/>
          <w:sz w:val="20"/>
          <w:szCs w:val="20"/>
        </w:rPr>
        <w:t>L</w:t>
      </w:r>
      <w:bookmarkStart w:id="0" w:name="_GoBack"/>
      <w:bookmarkEnd w:id="0"/>
      <w:r w:rsidRPr="00120AEA">
        <w:rPr>
          <w:rFonts w:ascii="Arial" w:hAnsi="Arial" w:cs="Arial"/>
          <w:sz w:val="20"/>
          <w:szCs w:val="20"/>
        </w:rPr>
        <w:t>aboratoire du PCAET.</w:t>
      </w:r>
    </w:p>
    <w:p w14:paraId="772E70E1" w14:textId="3793A0B4" w:rsidR="00B329AF" w:rsidRPr="00120AEA" w:rsidRDefault="00B329AF" w:rsidP="00956B44">
      <w:p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>Les modalités précises (</w:t>
      </w:r>
      <w:r w:rsidR="00FA03C3" w:rsidRPr="00120AEA">
        <w:rPr>
          <w:rFonts w:ascii="Arial" w:hAnsi="Arial" w:cs="Arial"/>
          <w:sz w:val="20"/>
          <w:szCs w:val="20"/>
        </w:rPr>
        <w:t xml:space="preserve">dates, </w:t>
      </w:r>
      <w:r w:rsidRPr="00120AEA">
        <w:rPr>
          <w:rFonts w:ascii="Arial" w:hAnsi="Arial" w:cs="Arial"/>
          <w:sz w:val="20"/>
          <w:szCs w:val="20"/>
        </w:rPr>
        <w:t>lieux, horaires</w:t>
      </w:r>
      <w:r w:rsidR="001000A6" w:rsidRPr="00120AEA">
        <w:rPr>
          <w:rFonts w:ascii="Arial" w:hAnsi="Arial" w:cs="Arial"/>
          <w:sz w:val="20"/>
          <w:szCs w:val="20"/>
        </w:rPr>
        <w:t>,</w:t>
      </w:r>
      <w:r w:rsidR="00125B99" w:rsidRPr="00120AEA">
        <w:rPr>
          <w:rFonts w:ascii="Arial" w:hAnsi="Arial" w:cs="Arial"/>
          <w:sz w:val="20"/>
          <w:szCs w:val="20"/>
        </w:rPr>
        <w:t xml:space="preserve"> </w:t>
      </w:r>
      <w:r w:rsidRPr="00120AEA">
        <w:rPr>
          <w:rFonts w:ascii="Arial" w:hAnsi="Arial" w:cs="Arial"/>
          <w:sz w:val="20"/>
          <w:szCs w:val="20"/>
        </w:rPr>
        <w:t>…) seront communiquées</w:t>
      </w:r>
      <w:r w:rsidR="00061E04" w:rsidRPr="00120AEA">
        <w:rPr>
          <w:rFonts w:ascii="Arial" w:hAnsi="Arial" w:cs="Arial"/>
          <w:sz w:val="20"/>
          <w:szCs w:val="20"/>
        </w:rPr>
        <w:t xml:space="preserve"> au public</w:t>
      </w:r>
      <w:r w:rsidRPr="00120AEA">
        <w:rPr>
          <w:rFonts w:ascii="Arial" w:hAnsi="Arial" w:cs="Arial"/>
          <w:sz w:val="20"/>
          <w:szCs w:val="20"/>
        </w:rPr>
        <w:t xml:space="preserve"> sur le site internet de la Communauté de Communes du </w:t>
      </w:r>
      <w:r w:rsidR="008C2217" w:rsidRPr="00120AEA">
        <w:rPr>
          <w:rFonts w:ascii="Arial" w:hAnsi="Arial" w:cs="Arial"/>
          <w:sz w:val="20"/>
          <w:szCs w:val="20"/>
        </w:rPr>
        <w:t>P</w:t>
      </w:r>
      <w:r w:rsidRPr="00120AEA">
        <w:rPr>
          <w:rFonts w:ascii="Arial" w:hAnsi="Arial" w:cs="Arial"/>
          <w:sz w:val="20"/>
          <w:szCs w:val="20"/>
        </w:rPr>
        <w:t xml:space="preserve">ays de Honfleur-Beuzeville et par voie d’affichage. </w:t>
      </w:r>
    </w:p>
    <w:p w14:paraId="3588ECDD" w14:textId="68EAB8A2" w:rsidR="005761D3" w:rsidRPr="00120AEA" w:rsidRDefault="005761D3" w:rsidP="00956B44">
      <w:pPr>
        <w:jc w:val="both"/>
        <w:rPr>
          <w:rFonts w:ascii="Arial" w:hAnsi="Arial" w:cs="Arial"/>
          <w:sz w:val="20"/>
          <w:szCs w:val="20"/>
        </w:rPr>
      </w:pPr>
      <w:r w:rsidRPr="00120AEA">
        <w:rPr>
          <w:rFonts w:ascii="Arial" w:hAnsi="Arial" w:cs="Arial"/>
          <w:sz w:val="20"/>
          <w:szCs w:val="20"/>
        </w:rPr>
        <w:t xml:space="preserve">La présente déclaration d’intention ainsi que </w:t>
      </w:r>
      <w:r w:rsidR="002667ED" w:rsidRPr="00120AEA">
        <w:rPr>
          <w:rFonts w:ascii="Arial" w:hAnsi="Arial" w:cs="Arial"/>
          <w:sz w:val="20"/>
          <w:szCs w:val="20"/>
        </w:rPr>
        <w:t>les</w:t>
      </w:r>
      <w:r w:rsidRPr="00120AEA">
        <w:rPr>
          <w:rFonts w:ascii="Arial" w:hAnsi="Arial" w:cs="Arial"/>
          <w:sz w:val="20"/>
          <w:szCs w:val="20"/>
        </w:rPr>
        <w:t xml:space="preserve"> modalités d’élaboration et de concertation sont publiés sur le site internet de la CCPHB.</w:t>
      </w:r>
    </w:p>
    <w:p w14:paraId="32AA2055" w14:textId="4E12F2ED" w:rsidR="00B97CE1" w:rsidRPr="00956B44" w:rsidRDefault="00B97CE1" w:rsidP="00956B44">
      <w:pPr>
        <w:jc w:val="both"/>
        <w:rPr>
          <w:rFonts w:ascii="Arial" w:hAnsi="Arial" w:cs="Arial"/>
          <w:sz w:val="20"/>
          <w:szCs w:val="20"/>
        </w:rPr>
      </w:pPr>
    </w:p>
    <w:sectPr w:rsidR="00B97CE1" w:rsidRPr="00956B44" w:rsidSect="00120AEA">
      <w:pgSz w:w="11900" w:h="16840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51A2C" w14:textId="77777777" w:rsidR="00860D5F" w:rsidRDefault="00860D5F" w:rsidP="009B79BE">
      <w:r>
        <w:separator/>
      </w:r>
    </w:p>
  </w:endnote>
  <w:endnote w:type="continuationSeparator" w:id="0">
    <w:p w14:paraId="727C6E3C" w14:textId="77777777" w:rsidR="00860D5F" w:rsidRDefault="00860D5F" w:rsidP="009B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0CB16" w14:textId="77777777" w:rsidR="00860D5F" w:rsidRDefault="00860D5F" w:rsidP="009B79BE">
      <w:r>
        <w:separator/>
      </w:r>
    </w:p>
  </w:footnote>
  <w:footnote w:type="continuationSeparator" w:id="0">
    <w:p w14:paraId="5B65BDA7" w14:textId="77777777" w:rsidR="00860D5F" w:rsidRDefault="00860D5F" w:rsidP="009B7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Feuille_CCPHB" style="width:14.25pt;height:9pt;visibility:visible;mso-wrap-style:square" o:bullet="t">
        <v:imagedata r:id="rId1" o:title="Feuille_CCPHB"/>
      </v:shape>
    </w:pict>
  </w:numPicBullet>
  <w:abstractNum w:abstractNumId="0" w15:restartNumberingAfterBreak="0">
    <w:nsid w:val="0FE73352"/>
    <w:multiLevelType w:val="hybridMultilevel"/>
    <w:tmpl w:val="1B56F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60DC"/>
    <w:multiLevelType w:val="hybridMultilevel"/>
    <w:tmpl w:val="600035E8"/>
    <w:lvl w:ilvl="0" w:tplc="4606DB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A2B77"/>
    <w:multiLevelType w:val="hybridMultilevel"/>
    <w:tmpl w:val="54BAE2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C1151"/>
    <w:multiLevelType w:val="hybridMultilevel"/>
    <w:tmpl w:val="45064E92"/>
    <w:lvl w:ilvl="0" w:tplc="3C3E711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215C2"/>
    <w:multiLevelType w:val="hybridMultilevel"/>
    <w:tmpl w:val="BF861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314A5"/>
    <w:multiLevelType w:val="hybridMultilevel"/>
    <w:tmpl w:val="686C5184"/>
    <w:lvl w:ilvl="0" w:tplc="4606DB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52E84"/>
    <w:multiLevelType w:val="hybridMultilevel"/>
    <w:tmpl w:val="84264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41F10"/>
    <w:multiLevelType w:val="hybridMultilevel"/>
    <w:tmpl w:val="9E12C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44"/>
    <w:rsid w:val="000371F2"/>
    <w:rsid w:val="00061E04"/>
    <w:rsid w:val="0007003D"/>
    <w:rsid w:val="000E0DAC"/>
    <w:rsid w:val="001000A6"/>
    <w:rsid w:val="00120AEA"/>
    <w:rsid w:val="00125B99"/>
    <w:rsid w:val="0013179B"/>
    <w:rsid w:val="0016734F"/>
    <w:rsid w:val="00201615"/>
    <w:rsid w:val="00216014"/>
    <w:rsid w:val="002667ED"/>
    <w:rsid w:val="00276B81"/>
    <w:rsid w:val="002A6B84"/>
    <w:rsid w:val="002B2A46"/>
    <w:rsid w:val="002D7A19"/>
    <w:rsid w:val="00313A96"/>
    <w:rsid w:val="00326563"/>
    <w:rsid w:val="00327154"/>
    <w:rsid w:val="003C3EF5"/>
    <w:rsid w:val="003C5BAD"/>
    <w:rsid w:val="0042446E"/>
    <w:rsid w:val="004E422E"/>
    <w:rsid w:val="005761D3"/>
    <w:rsid w:val="00601B51"/>
    <w:rsid w:val="00650DC5"/>
    <w:rsid w:val="006577F7"/>
    <w:rsid w:val="0069493E"/>
    <w:rsid w:val="007B19AC"/>
    <w:rsid w:val="007C36D1"/>
    <w:rsid w:val="007C3DBC"/>
    <w:rsid w:val="00800A97"/>
    <w:rsid w:val="00856ABF"/>
    <w:rsid w:val="00860D5F"/>
    <w:rsid w:val="008A1988"/>
    <w:rsid w:val="008C2217"/>
    <w:rsid w:val="00901BD4"/>
    <w:rsid w:val="00903B66"/>
    <w:rsid w:val="00956B44"/>
    <w:rsid w:val="00994FD3"/>
    <w:rsid w:val="009973E2"/>
    <w:rsid w:val="009B79BE"/>
    <w:rsid w:val="00AC0906"/>
    <w:rsid w:val="00B04B84"/>
    <w:rsid w:val="00B329AF"/>
    <w:rsid w:val="00B8523E"/>
    <w:rsid w:val="00B97CE1"/>
    <w:rsid w:val="00BA43DA"/>
    <w:rsid w:val="00BC2DF0"/>
    <w:rsid w:val="00C912FF"/>
    <w:rsid w:val="00CF5993"/>
    <w:rsid w:val="00D34D5C"/>
    <w:rsid w:val="00D62AA4"/>
    <w:rsid w:val="00D651E2"/>
    <w:rsid w:val="00DB171B"/>
    <w:rsid w:val="00E90B34"/>
    <w:rsid w:val="00FA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D2F5D"/>
  <w15:chartTrackingRefBased/>
  <w15:docId w15:val="{F6202DF2-A742-A24B-AC56-09971806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6B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4B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79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79BE"/>
  </w:style>
  <w:style w:type="paragraph" w:styleId="Pieddepage">
    <w:name w:val="footer"/>
    <w:basedOn w:val="Normal"/>
    <w:link w:val="PieddepageCar"/>
    <w:uiPriority w:val="99"/>
    <w:unhideWhenUsed/>
    <w:rsid w:val="009B79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1004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Lancry</dc:creator>
  <cp:keywords/>
  <dc:description/>
  <cp:lastModifiedBy>Mathilde Louis-Nowak</cp:lastModifiedBy>
  <cp:revision>4</cp:revision>
  <cp:lastPrinted>2019-07-31T14:27:00Z</cp:lastPrinted>
  <dcterms:created xsi:type="dcterms:W3CDTF">2019-10-07T09:44:00Z</dcterms:created>
  <dcterms:modified xsi:type="dcterms:W3CDTF">2019-10-08T15:00:00Z</dcterms:modified>
</cp:coreProperties>
</file>